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174"/>
      </w:tblGrid>
      <w:tr w:rsidR="009002F8" w:rsidTr="003F18D5">
        <w:trPr>
          <w:trHeight w:val="718"/>
        </w:trPr>
        <w:tc>
          <w:tcPr>
            <w:tcW w:w="10174" w:type="dxa"/>
          </w:tcPr>
          <w:p w:rsidR="009002F8" w:rsidRDefault="004F6C55">
            <w:pPr>
              <w:jc w:val="center"/>
              <w:rPr>
                <w:lang w:val="lt-LT"/>
              </w:rPr>
            </w:pPr>
            <w:r>
              <w:rPr>
                <w:noProof/>
                <w:lang w:val="lt-LT"/>
              </w:rPr>
              <w:drawing>
                <wp:inline distT="0" distB="0" distL="0" distR="0">
                  <wp:extent cx="647700" cy="6381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EAF" w:rsidRDefault="00214EAF">
            <w:pPr>
              <w:jc w:val="center"/>
              <w:rPr>
                <w:lang w:val="lt-LT"/>
              </w:rPr>
            </w:pPr>
            <w:r w:rsidRPr="00465F4B">
              <w:rPr>
                <w:b/>
                <w:lang w:val="lt-LT"/>
              </w:rPr>
              <w:t>UŽDAROJI  AKCINĖ  BENDROVĖ</w:t>
            </w:r>
          </w:p>
          <w:p w:rsidR="00214EAF" w:rsidRDefault="00214EAF">
            <w:pPr>
              <w:jc w:val="center"/>
              <w:rPr>
                <w:lang w:val="lt-LT"/>
              </w:rPr>
            </w:pPr>
          </w:p>
          <w:p w:rsidR="00214EAF" w:rsidRDefault="00214EAF">
            <w:pPr>
              <w:jc w:val="center"/>
              <w:rPr>
                <w:b/>
                <w:bCs w:val="0"/>
                <w:lang w:val="lt-LT"/>
              </w:rPr>
            </w:pPr>
            <w:r w:rsidRPr="00214EAF">
              <w:rPr>
                <w:b/>
                <w:bCs w:val="0"/>
                <w:lang w:val="lt-LT"/>
              </w:rPr>
              <w:t>„AKMENĖS VANDENYS“</w:t>
            </w:r>
          </w:p>
          <w:p w:rsidR="00DA7451" w:rsidRDefault="00DA7451">
            <w:pPr>
              <w:jc w:val="center"/>
              <w:rPr>
                <w:b/>
                <w:bCs w:val="0"/>
                <w:lang w:val="lt-LT"/>
              </w:rPr>
            </w:pPr>
          </w:p>
          <w:p w:rsidR="00DA7451" w:rsidRDefault="00DA7451">
            <w:pPr>
              <w:jc w:val="center"/>
              <w:rPr>
                <w:b/>
                <w:bCs w:val="0"/>
                <w:lang w:val="lt-LT"/>
              </w:rPr>
            </w:pPr>
          </w:p>
          <w:p w:rsidR="00DA7451" w:rsidRDefault="00DA7451">
            <w:pPr>
              <w:jc w:val="center"/>
              <w:rPr>
                <w:b/>
                <w:bCs w:val="0"/>
                <w:lang w:val="lt-LT"/>
              </w:rPr>
            </w:pPr>
          </w:p>
          <w:p w:rsidR="00357206" w:rsidRDefault="00357206" w:rsidP="00357206">
            <w:pPr>
              <w:spacing w:line="100" w:lineRule="atLeast"/>
              <w:jc w:val="center"/>
              <w:rPr>
                <w:b/>
                <w:lang w:val="lt-LT"/>
              </w:rPr>
            </w:pPr>
            <w:r w:rsidRPr="00F94F3B">
              <w:rPr>
                <w:b/>
                <w:lang w:val="lt-LT"/>
              </w:rPr>
              <w:t>INFORMACIJA APIE DARBO UŽMOKESTĮ</w:t>
            </w:r>
          </w:p>
          <w:p w:rsidR="00357206" w:rsidRDefault="00357206" w:rsidP="00357206">
            <w:pPr>
              <w:spacing w:line="100" w:lineRule="atLeast"/>
              <w:jc w:val="center"/>
              <w:rPr>
                <w:b/>
                <w:lang w:val="lt-LT"/>
              </w:rPr>
            </w:pPr>
          </w:p>
          <w:p w:rsidR="00357206" w:rsidRDefault="00357206" w:rsidP="00357206">
            <w:pPr>
              <w:jc w:val="center"/>
              <w:rPr>
                <w:b/>
                <w:bCs w:val="0"/>
                <w:lang w:val="lt-LT"/>
              </w:rPr>
            </w:pPr>
          </w:p>
          <w:p w:rsidR="00357206" w:rsidRDefault="00357206" w:rsidP="00357206">
            <w:pPr>
              <w:jc w:val="center"/>
              <w:rPr>
                <w:b/>
                <w:bCs w:val="0"/>
                <w:lang w:val="lt-LT"/>
              </w:rPr>
            </w:pPr>
          </w:p>
          <w:p w:rsidR="00357206" w:rsidRPr="00F94F3B" w:rsidRDefault="00357206" w:rsidP="00357206">
            <w:pPr>
              <w:spacing w:line="100" w:lineRule="atLeast"/>
              <w:rPr>
                <w:lang w:val="lt-LT"/>
              </w:rPr>
            </w:pPr>
          </w:p>
          <w:tbl>
            <w:tblPr>
              <w:tblW w:w="4849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69"/>
              <w:gridCol w:w="1752"/>
              <w:gridCol w:w="2341"/>
              <w:gridCol w:w="2186"/>
            </w:tblGrid>
            <w:tr w:rsidR="00357206" w:rsidRPr="00F94F3B" w:rsidTr="00357206">
              <w:trPr>
                <w:trHeight w:val="1201"/>
                <w:tblCellSpacing w:w="0" w:type="dxa"/>
              </w:trPr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206" w:rsidRPr="00F94F3B" w:rsidRDefault="00357206" w:rsidP="00357206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sz w:val="22"/>
                      <w:szCs w:val="22"/>
                      <w:lang w:val="lt-LT"/>
                    </w:rPr>
                  </w:pPr>
                  <w:r w:rsidRPr="00F94F3B">
                    <w:rPr>
                      <w:color w:val="262121"/>
                      <w:sz w:val="22"/>
                      <w:szCs w:val="22"/>
                      <w:lang w:val="lt-LT"/>
                    </w:rPr>
                    <w:t xml:space="preserve">           Pareigybė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206" w:rsidRPr="0003201D" w:rsidRDefault="00357206" w:rsidP="00357206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03201D">
                    <w:rPr>
                      <w:sz w:val="22"/>
                      <w:szCs w:val="22"/>
                      <w:lang w:val="lt-LT"/>
                    </w:rPr>
                    <w:t>Darbuotojų skaičius</w:t>
                  </w:r>
                </w:p>
                <w:p w:rsidR="00357206" w:rsidRPr="0003201D" w:rsidRDefault="00357206" w:rsidP="00357206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2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206" w:rsidRPr="00F94F3B" w:rsidRDefault="00D0007A" w:rsidP="00357206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sz w:val="22"/>
                      <w:szCs w:val="22"/>
                      <w:lang w:val="lt-LT"/>
                    </w:rPr>
                  </w:pPr>
                  <w:r w:rsidRPr="00F94F3B">
                    <w:rPr>
                      <w:color w:val="262121"/>
                      <w:sz w:val="22"/>
                      <w:szCs w:val="22"/>
                      <w:lang w:val="lt-LT"/>
                    </w:rPr>
                    <w:t>20</w:t>
                  </w:r>
                  <w:r>
                    <w:rPr>
                      <w:color w:val="262121"/>
                      <w:sz w:val="22"/>
                      <w:szCs w:val="22"/>
                      <w:lang w:val="lt-LT"/>
                    </w:rPr>
                    <w:t>24 m. metinis vidutinis mėnesinis nustatytasis (paskirtasis)</w:t>
                  </w:r>
                  <w:r w:rsidRPr="00F94F3B">
                    <w:rPr>
                      <w:color w:val="262121"/>
                      <w:sz w:val="22"/>
                      <w:szCs w:val="22"/>
                      <w:lang w:val="lt-LT"/>
                    </w:rPr>
                    <w:t xml:space="preserve">   darbo užmokestis</w:t>
                  </w:r>
                </w:p>
              </w:tc>
              <w:tc>
                <w:tcPr>
                  <w:tcW w:w="11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206" w:rsidRPr="00F94F3B" w:rsidRDefault="005C5285" w:rsidP="00357206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sz w:val="22"/>
                      <w:szCs w:val="22"/>
                      <w:lang w:val="lt-LT"/>
                    </w:rPr>
                  </w:pPr>
                  <w:r w:rsidRPr="00F94F3B">
                    <w:rPr>
                      <w:color w:val="262121"/>
                      <w:sz w:val="22"/>
                      <w:szCs w:val="22"/>
                      <w:lang w:val="lt-LT"/>
                    </w:rPr>
                    <w:t>20</w:t>
                  </w:r>
                  <w:r>
                    <w:rPr>
                      <w:color w:val="262121"/>
                      <w:sz w:val="22"/>
                      <w:szCs w:val="22"/>
                      <w:lang w:val="lt-LT"/>
                    </w:rPr>
                    <w:t>2</w:t>
                  </w:r>
                  <w:r w:rsidR="00D65354">
                    <w:rPr>
                      <w:color w:val="262121"/>
                      <w:sz w:val="22"/>
                      <w:szCs w:val="22"/>
                      <w:lang w:val="lt-LT"/>
                    </w:rPr>
                    <w:t>5</w:t>
                  </w:r>
                  <w:r>
                    <w:rPr>
                      <w:color w:val="262121"/>
                      <w:sz w:val="22"/>
                      <w:szCs w:val="22"/>
                      <w:lang w:val="lt-LT"/>
                    </w:rPr>
                    <w:t xml:space="preserve"> m. </w:t>
                  </w:r>
                  <w:r w:rsidR="00D65354">
                    <w:rPr>
                      <w:color w:val="262121"/>
                      <w:sz w:val="22"/>
                      <w:szCs w:val="22"/>
                      <w:lang w:val="lt-LT"/>
                    </w:rPr>
                    <w:t>I ketvirčio</w:t>
                  </w:r>
                  <w:r>
                    <w:rPr>
                      <w:color w:val="262121"/>
                      <w:sz w:val="22"/>
                      <w:szCs w:val="22"/>
                      <w:lang w:val="lt-LT"/>
                    </w:rPr>
                    <w:t xml:space="preserve"> vidutinis mėnesinis nustatytasis (paskirtasis)</w:t>
                  </w:r>
                  <w:r w:rsidRPr="00F94F3B">
                    <w:rPr>
                      <w:color w:val="262121"/>
                      <w:sz w:val="22"/>
                      <w:szCs w:val="22"/>
                      <w:lang w:val="lt-LT"/>
                    </w:rPr>
                    <w:t xml:space="preserve">   darbo užmokestis </w:t>
                  </w:r>
                </w:p>
              </w:tc>
            </w:tr>
            <w:tr w:rsidR="00D0007A" w:rsidRPr="00F94F3B" w:rsidTr="00357206">
              <w:trPr>
                <w:trHeight w:val="211"/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Direktorius</w:t>
                  </w:r>
                </w:p>
              </w:tc>
              <w:tc>
                <w:tcPr>
                  <w:tcW w:w="908" w:type="pct"/>
                </w:tcPr>
                <w:p w:rsidR="00D0007A" w:rsidRPr="0003201D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lang w:val="lt-LT"/>
                    </w:rPr>
                  </w:pPr>
                  <w:r w:rsidRPr="0003201D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6037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6029</w:t>
                  </w:r>
                </w:p>
              </w:tc>
            </w:tr>
            <w:tr w:rsidR="00D0007A" w:rsidRPr="00F94F3B" w:rsidTr="00357206">
              <w:trPr>
                <w:trHeight w:val="211"/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Direktoriaus pavaduotojas</w:t>
                  </w:r>
                </w:p>
              </w:tc>
              <w:tc>
                <w:tcPr>
                  <w:tcW w:w="908" w:type="pct"/>
                </w:tcPr>
                <w:p w:rsidR="00D0007A" w:rsidRPr="0003201D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lang w:val="lt-LT"/>
                    </w:rPr>
                  </w:pPr>
                  <w:r w:rsidRPr="0003201D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3626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3738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Buhalteriai</w:t>
                  </w:r>
                </w:p>
              </w:tc>
              <w:tc>
                <w:tcPr>
                  <w:tcW w:w="908" w:type="pct"/>
                </w:tcPr>
                <w:p w:rsidR="00D0007A" w:rsidRPr="0003201D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lang w:val="lt-LT"/>
                    </w:rPr>
                  </w:pPr>
                  <w:r w:rsidRPr="0003201D">
                    <w:rPr>
                      <w:lang w:val="lt-LT"/>
                    </w:rPr>
                    <w:t>3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2078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2160</w:t>
                  </w:r>
                </w:p>
              </w:tc>
            </w:tr>
            <w:tr w:rsidR="00D0007A" w:rsidRPr="00F94F3B" w:rsidTr="00183879">
              <w:trPr>
                <w:trHeight w:val="483"/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Inžinieriai</w:t>
                  </w:r>
                </w:p>
              </w:tc>
              <w:tc>
                <w:tcPr>
                  <w:tcW w:w="908" w:type="pct"/>
                </w:tcPr>
                <w:p w:rsidR="00D0007A" w:rsidRPr="0003201D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1399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1386</w:t>
                  </w:r>
                </w:p>
              </w:tc>
            </w:tr>
            <w:tr w:rsidR="00D0007A" w:rsidRPr="00F94F3B" w:rsidTr="00230597">
              <w:trPr>
                <w:trHeight w:val="345"/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Tarnybų vadovai, meistrai</w:t>
                  </w:r>
                </w:p>
              </w:tc>
              <w:tc>
                <w:tcPr>
                  <w:tcW w:w="908" w:type="pct"/>
                </w:tcPr>
                <w:p w:rsidR="00D0007A" w:rsidRPr="0003201D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7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1701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1845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Abonentinės tarnybos apskaitininkai, kontrolieriai</w:t>
                  </w:r>
                </w:p>
              </w:tc>
              <w:tc>
                <w:tcPr>
                  <w:tcW w:w="908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6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1076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1115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Nuotekų valymo įrenginių operatoriai</w:t>
                  </w:r>
                </w:p>
              </w:tc>
              <w:tc>
                <w:tcPr>
                  <w:tcW w:w="908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7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1146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1237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 xml:space="preserve">Vandentiekio ir nuotekų tinklų šaltkalviai, santechnikai, suvirintojai </w:t>
                  </w:r>
                </w:p>
              </w:tc>
              <w:tc>
                <w:tcPr>
                  <w:tcW w:w="908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10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1150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1146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Vairuotojai, mechanizatoriai</w:t>
                  </w:r>
                </w:p>
              </w:tc>
              <w:tc>
                <w:tcPr>
                  <w:tcW w:w="908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4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1237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1249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 w:rsidRPr="00F94F3B">
                    <w:rPr>
                      <w:color w:val="262121"/>
                      <w:lang w:val="lt-LT"/>
                    </w:rPr>
                    <w:t>Elektrikai</w:t>
                  </w:r>
                </w:p>
              </w:tc>
              <w:tc>
                <w:tcPr>
                  <w:tcW w:w="908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2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1175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1168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Mūrininkai, dailidės</w:t>
                  </w:r>
                </w:p>
              </w:tc>
              <w:tc>
                <w:tcPr>
                  <w:tcW w:w="908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2</w:t>
                  </w:r>
                </w:p>
              </w:tc>
              <w:tc>
                <w:tcPr>
                  <w:tcW w:w="1213" w:type="pct"/>
                </w:tcPr>
                <w:p w:rsidR="00D0007A" w:rsidRPr="00F94F3B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1045</w:t>
                  </w:r>
                </w:p>
              </w:tc>
              <w:tc>
                <w:tcPr>
                  <w:tcW w:w="1133" w:type="pct"/>
                </w:tcPr>
                <w:p w:rsidR="00D0007A" w:rsidRPr="00F94F3B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1058</w:t>
                  </w:r>
                </w:p>
              </w:tc>
            </w:tr>
            <w:tr w:rsidR="00D0007A" w:rsidRPr="00F94F3B" w:rsidTr="00357206">
              <w:trPr>
                <w:tblCellSpacing w:w="0" w:type="dxa"/>
              </w:trPr>
              <w:tc>
                <w:tcPr>
                  <w:tcW w:w="1746" w:type="pct"/>
                </w:tcPr>
                <w:p w:rsidR="00D0007A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Pagalbiniai darbininkai</w:t>
                  </w:r>
                </w:p>
              </w:tc>
              <w:tc>
                <w:tcPr>
                  <w:tcW w:w="908" w:type="pct"/>
                </w:tcPr>
                <w:p w:rsidR="00D0007A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</w:t>
                  </w:r>
                </w:p>
              </w:tc>
              <w:tc>
                <w:tcPr>
                  <w:tcW w:w="1213" w:type="pct"/>
                </w:tcPr>
                <w:p w:rsidR="00D0007A" w:rsidRDefault="00D0007A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951</w:t>
                  </w:r>
                </w:p>
              </w:tc>
              <w:tc>
                <w:tcPr>
                  <w:tcW w:w="1133" w:type="pct"/>
                </w:tcPr>
                <w:p w:rsidR="00D0007A" w:rsidRDefault="00EB208D" w:rsidP="00D0007A">
                  <w:pPr>
                    <w:pStyle w:val="prastasistinklapis"/>
                    <w:pBdr>
                      <w:between w:val="single" w:sz="4" w:space="1" w:color="auto"/>
                    </w:pBdr>
                    <w:jc w:val="center"/>
                    <w:rPr>
                      <w:color w:val="262121"/>
                      <w:lang w:val="lt-LT"/>
                    </w:rPr>
                  </w:pPr>
                  <w:r>
                    <w:rPr>
                      <w:color w:val="262121"/>
                      <w:lang w:val="lt-LT"/>
                    </w:rPr>
                    <w:t>1057</w:t>
                  </w:r>
                </w:p>
              </w:tc>
            </w:tr>
          </w:tbl>
          <w:p w:rsidR="00DA7451" w:rsidRDefault="00DA7451">
            <w:pPr>
              <w:jc w:val="center"/>
              <w:rPr>
                <w:b/>
                <w:bCs w:val="0"/>
                <w:lang w:val="lt-LT"/>
              </w:rPr>
            </w:pPr>
          </w:p>
          <w:p w:rsidR="00DA7451" w:rsidRDefault="00DA7451">
            <w:pPr>
              <w:jc w:val="center"/>
              <w:rPr>
                <w:b/>
                <w:bCs w:val="0"/>
                <w:lang w:val="lt-LT"/>
              </w:rPr>
            </w:pPr>
          </w:p>
          <w:p w:rsidR="00DA7451" w:rsidRDefault="00DA7451">
            <w:pPr>
              <w:jc w:val="center"/>
              <w:rPr>
                <w:b/>
                <w:bCs w:val="0"/>
                <w:lang w:val="lt-LT"/>
              </w:rPr>
            </w:pPr>
          </w:p>
          <w:p w:rsidR="00214EAF" w:rsidRDefault="00214EAF" w:rsidP="007963F8">
            <w:pPr>
              <w:jc w:val="center"/>
              <w:rPr>
                <w:lang w:val="lt-LT"/>
              </w:rPr>
            </w:pPr>
          </w:p>
        </w:tc>
      </w:tr>
    </w:tbl>
    <w:p w:rsidR="00EA2A01" w:rsidRPr="00104451" w:rsidRDefault="00104451" w:rsidP="007963F8">
      <w:pPr>
        <w:spacing w:line="100" w:lineRule="atLeast"/>
        <w:rPr>
          <w:bCs w:val="0"/>
          <w:lang w:val="lt-LT"/>
        </w:rPr>
      </w:pPr>
      <w:bookmarkStart w:id="0" w:name="_Hlk511223729"/>
      <w:bookmarkEnd w:id="0"/>
      <w:r w:rsidRPr="00104451">
        <w:rPr>
          <w:bCs w:val="0"/>
          <w:lang w:val="lt-LT"/>
        </w:rPr>
        <w:t>Informacija atnaujinta 202</w:t>
      </w:r>
      <w:r w:rsidR="001C60E2">
        <w:rPr>
          <w:bCs w:val="0"/>
          <w:lang w:val="lt-LT"/>
        </w:rPr>
        <w:t>5</w:t>
      </w:r>
      <w:r w:rsidRPr="00104451">
        <w:rPr>
          <w:bCs w:val="0"/>
          <w:lang w:val="lt-LT"/>
        </w:rPr>
        <w:t>-</w:t>
      </w:r>
      <w:r w:rsidR="001C60E2">
        <w:rPr>
          <w:bCs w:val="0"/>
          <w:lang w:val="lt-LT"/>
        </w:rPr>
        <w:t>0</w:t>
      </w:r>
      <w:r w:rsidR="004F6C55">
        <w:rPr>
          <w:bCs w:val="0"/>
          <w:lang w:val="lt-LT"/>
        </w:rPr>
        <w:t>4</w:t>
      </w:r>
      <w:r w:rsidRPr="00104451">
        <w:rPr>
          <w:bCs w:val="0"/>
          <w:lang w:val="lt-LT"/>
        </w:rPr>
        <w:t>-</w:t>
      </w:r>
      <w:r w:rsidR="00183879">
        <w:rPr>
          <w:bCs w:val="0"/>
          <w:lang w:val="lt-LT"/>
        </w:rPr>
        <w:t>0</w:t>
      </w:r>
      <w:r w:rsidR="000D01E7">
        <w:rPr>
          <w:bCs w:val="0"/>
          <w:lang w:val="lt-LT"/>
        </w:rPr>
        <w:t>7</w:t>
      </w:r>
    </w:p>
    <w:sectPr w:rsidR="00EA2A01" w:rsidRPr="0010445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F35" w:rsidRDefault="00785F35">
      <w:r>
        <w:separator/>
      </w:r>
    </w:p>
  </w:endnote>
  <w:endnote w:type="continuationSeparator" w:id="0">
    <w:p w:rsidR="00785F35" w:rsidRDefault="0078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F35" w:rsidRDefault="00785F35">
      <w:r>
        <w:separator/>
      </w:r>
    </w:p>
  </w:footnote>
  <w:footnote w:type="continuationSeparator" w:id="0">
    <w:p w:rsidR="00785F35" w:rsidRDefault="0078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26"/>
    <w:rsid w:val="000014B8"/>
    <w:rsid w:val="000030D8"/>
    <w:rsid w:val="0000352E"/>
    <w:rsid w:val="00004722"/>
    <w:rsid w:val="00005AB3"/>
    <w:rsid w:val="000136C0"/>
    <w:rsid w:val="000142F7"/>
    <w:rsid w:val="00015607"/>
    <w:rsid w:val="0003201D"/>
    <w:rsid w:val="0004649A"/>
    <w:rsid w:val="00046C49"/>
    <w:rsid w:val="000513CB"/>
    <w:rsid w:val="00051C20"/>
    <w:rsid w:val="00056069"/>
    <w:rsid w:val="000650AF"/>
    <w:rsid w:val="00072425"/>
    <w:rsid w:val="00073064"/>
    <w:rsid w:val="000953B2"/>
    <w:rsid w:val="00096869"/>
    <w:rsid w:val="000A46D8"/>
    <w:rsid w:val="000B37BE"/>
    <w:rsid w:val="000B4CBE"/>
    <w:rsid w:val="000B4DFA"/>
    <w:rsid w:val="000C1FAE"/>
    <w:rsid w:val="000C44F6"/>
    <w:rsid w:val="000D01E7"/>
    <w:rsid w:val="000D0FFA"/>
    <w:rsid w:val="001005B1"/>
    <w:rsid w:val="00104451"/>
    <w:rsid w:val="00113E29"/>
    <w:rsid w:val="001200A3"/>
    <w:rsid w:val="001239AA"/>
    <w:rsid w:val="001300C7"/>
    <w:rsid w:val="00133CC3"/>
    <w:rsid w:val="00152174"/>
    <w:rsid w:val="0015453A"/>
    <w:rsid w:val="00163389"/>
    <w:rsid w:val="001657ED"/>
    <w:rsid w:val="00173F3B"/>
    <w:rsid w:val="00183879"/>
    <w:rsid w:val="001C0993"/>
    <w:rsid w:val="001C60E2"/>
    <w:rsid w:val="001D2384"/>
    <w:rsid w:val="001D4263"/>
    <w:rsid w:val="001D50AE"/>
    <w:rsid w:val="001D7BDD"/>
    <w:rsid w:val="00210AB3"/>
    <w:rsid w:val="00210D47"/>
    <w:rsid w:val="00214EAF"/>
    <w:rsid w:val="00220619"/>
    <w:rsid w:val="00225F52"/>
    <w:rsid w:val="00230597"/>
    <w:rsid w:val="0024051F"/>
    <w:rsid w:val="00240DC6"/>
    <w:rsid w:val="0024682C"/>
    <w:rsid w:val="002671C3"/>
    <w:rsid w:val="0027785D"/>
    <w:rsid w:val="00281307"/>
    <w:rsid w:val="002872FC"/>
    <w:rsid w:val="00294A3B"/>
    <w:rsid w:val="00297DC2"/>
    <w:rsid w:val="002A6A9C"/>
    <w:rsid w:val="002C04E4"/>
    <w:rsid w:val="002D2F6E"/>
    <w:rsid w:val="002D509F"/>
    <w:rsid w:val="002D5CBE"/>
    <w:rsid w:val="002F5F71"/>
    <w:rsid w:val="0030012A"/>
    <w:rsid w:val="00300D45"/>
    <w:rsid w:val="00340E35"/>
    <w:rsid w:val="00352310"/>
    <w:rsid w:val="00357206"/>
    <w:rsid w:val="0037095B"/>
    <w:rsid w:val="00380276"/>
    <w:rsid w:val="00380A60"/>
    <w:rsid w:val="00380D46"/>
    <w:rsid w:val="003832B3"/>
    <w:rsid w:val="00385034"/>
    <w:rsid w:val="00397E1D"/>
    <w:rsid w:val="00397EE4"/>
    <w:rsid w:val="003A0EFA"/>
    <w:rsid w:val="003D2103"/>
    <w:rsid w:val="003D7375"/>
    <w:rsid w:val="003E2B85"/>
    <w:rsid w:val="003E34E1"/>
    <w:rsid w:val="003F18D5"/>
    <w:rsid w:val="003F5E2E"/>
    <w:rsid w:val="00405882"/>
    <w:rsid w:val="00413CBF"/>
    <w:rsid w:val="00423F60"/>
    <w:rsid w:val="00424E80"/>
    <w:rsid w:val="00430434"/>
    <w:rsid w:val="00431BC6"/>
    <w:rsid w:val="004338B6"/>
    <w:rsid w:val="00435A5E"/>
    <w:rsid w:val="00435A72"/>
    <w:rsid w:val="00463A10"/>
    <w:rsid w:val="00465F4B"/>
    <w:rsid w:val="00475C6B"/>
    <w:rsid w:val="00476ED2"/>
    <w:rsid w:val="00477AEF"/>
    <w:rsid w:val="00482821"/>
    <w:rsid w:val="00497E58"/>
    <w:rsid w:val="004B43B0"/>
    <w:rsid w:val="004C3B44"/>
    <w:rsid w:val="004C4DEA"/>
    <w:rsid w:val="004C5EC1"/>
    <w:rsid w:val="004D6054"/>
    <w:rsid w:val="004F6C55"/>
    <w:rsid w:val="004F72E8"/>
    <w:rsid w:val="00503274"/>
    <w:rsid w:val="0051450A"/>
    <w:rsid w:val="00537B57"/>
    <w:rsid w:val="005441C2"/>
    <w:rsid w:val="00545B2A"/>
    <w:rsid w:val="00567B0D"/>
    <w:rsid w:val="00585A67"/>
    <w:rsid w:val="00587918"/>
    <w:rsid w:val="00591155"/>
    <w:rsid w:val="005A0B8F"/>
    <w:rsid w:val="005A3EB5"/>
    <w:rsid w:val="005A40F4"/>
    <w:rsid w:val="005B3F66"/>
    <w:rsid w:val="005C5285"/>
    <w:rsid w:val="005C7B7E"/>
    <w:rsid w:val="005E509C"/>
    <w:rsid w:val="005F0D6B"/>
    <w:rsid w:val="005F1AF8"/>
    <w:rsid w:val="005F4566"/>
    <w:rsid w:val="006012DD"/>
    <w:rsid w:val="00625A21"/>
    <w:rsid w:val="006320D5"/>
    <w:rsid w:val="006403BF"/>
    <w:rsid w:val="006428C4"/>
    <w:rsid w:val="00655BD0"/>
    <w:rsid w:val="0066579E"/>
    <w:rsid w:val="00671166"/>
    <w:rsid w:val="00674541"/>
    <w:rsid w:val="006873C4"/>
    <w:rsid w:val="0069363C"/>
    <w:rsid w:val="00696651"/>
    <w:rsid w:val="006B0A97"/>
    <w:rsid w:val="006C0B18"/>
    <w:rsid w:val="006E36DA"/>
    <w:rsid w:val="006F1738"/>
    <w:rsid w:val="006F61B4"/>
    <w:rsid w:val="00716D83"/>
    <w:rsid w:val="00723695"/>
    <w:rsid w:val="007406FC"/>
    <w:rsid w:val="007422D9"/>
    <w:rsid w:val="007479F2"/>
    <w:rsid w:val="00752BB2"/>
    <w:rsid w:val="007549FE"/>
    <w:rsid w:val="00763915"/>
    <w:rsid w:val="007720D6"/>
    <w:rsid w:val="00785F35"/>
    <w:rsid w:val="007963F8"/>
    <w:rsid w:val="007C78C9"/>
    <w:rsid w:val="007E65A1"/>
    <w:rsid w:val="007E69CB"/>
    <w:rsid w:val="00814A21"/>
    <w:rsid w:val="00832E8F"/>
    <w:rsid w:val="00836C5D"/>
    <w:rsid w:val="0084155E"/>
    <w:rsid w:val="00851FAF"/>
    <w:rsid w:val="0086476E"/>
    <w:rsid w:val="0086682A"/>
    <w:rsid w:val="00876369"/>
    <w:rsid w:val="0087760A"/>
    <w:rsid w:val="00894C3B"/>
    <w:rsid w:val="008A0ABA"/>
    <w:rsid w:val="008A10D9"/>
    <w:rsid w:val="008B6ACD"/>
    <w:rsid w:val="008C46DB"/>
    <w:rsid w:val="008D051E"/>
    <w:rsid w:val="008D0897"/>
    <w:rsid w:val="008D40BD"/>
    <w:rsid w:val="008D78FA"/>
    <w:rsid w:val="009002F8"/>
    <w:rsid w:val="00913B4E"/>
    <w:rsid w:val="00922808"/>
    <w:rsid w:val="00931FBD"/>
    <w:rsid w:val="009559A0"/>
    <w:rsid w:val="00964014"/>
    <w:rsid w:val="009A65FA"/>
    <w:rsid w:val="009B20F2"/>
    <w:rsid w:val="009C5299"/>
    <w:rsid w:val="009C7833"/>
    <w:rsid w:val="009D1141"/>
    <w:rsid w:val="009D1EEE"/>
    <w:rsid w:val="009D3527"/>
    <w:rsid w:val="009E2012"/>
    <w:rsid w:val="009E4AAC"/>
    <w:rsid w:val="00A27771"/>
    <w:rsid w:val="00A3353E"/>
    <w:rsid w:val="00A42127"/>
    <w:rsid w:val="00A634CE"/>
    <w:rsid w:val="00A70D56"/>
    <w:rsid w:val="00A70E56"/>
    <w:rsid w:val="00A7432E"/>
    <w:rsid w:val="00A8016A"/>
    <w:rsid w:val="00A80663"/>
    <w:rsid w:val="00AA3FEF"/>
    <w:rsid w:val="00AB4C80"/>
    <w:rsid w:val="00AB67EB"/>
    <w:rsid w:val="00AD4BFB"/>
    <w:rsid w:val="00AE129D"/>
    <w:rsid w:val="00AE7BC2"/>
    <w:rsid w:val="00B151CB"/>
    <w:rsid w:val="00B17F0E"/>
    <w:rsid w:val="00B26370"/>
    <w:rsid w:val="00B33114"/>
    <w:rsid w:val="00B45F71"/>
    <w:rsid w:val="00B46C36"/>
    <w:rsid w:val="00B61998"/>
    <w:rsid w:val="00B7166F"/>
    <w:rsid w:val="00B76999"/>
    <w:rsid w:val="00B9506C"/>
    <w:rsid w:val="00B96F27"/>
    <w:rsid w:val="00BA0213"/>
    <w:rsid w:val="00BB03E2"/>
    <w:rsid w:val="00BB4B25"/>
    <w:rsid w:val="00BD152B"/>
    <w:rsid w:val="00BD15E7"/>
    <w:rsid w:val="00BE3838"/>
    <w:rsid w:val="00BE6F2A"/>
    <w:rsid w:val="00BF06F4"/>
    <w:rsid w:val="00BF2B84"/>
    <w:rsid w:val="00C22FA0"/>
    <w:rsid w:val="00C23267"/>
    <w:rsid w:val="00C2548B"/>
    <w:rsid w:val="00C406A4"/>
    <w:rsid w:val="00C41433"/>
    <w:rsid w:val="00C4278B"/>
    <w:rsid w:val="00C47249"/>
    <w:rsid w:val="00C4757C"/>
    <w:rsid w:val="00C7327E"/>
    <w:rsid w:val="00C81846"/>
    <w:rsid w:val="00D0007A"/>
    <w:rsid w:val="00D00AA0"/>
    <w:rsid w:val="00D054FF"/>
    <w:rsid w:val="00D13DAE"/>
    <w:rsid w:val="00D20928"/>
    <w:rsid w:val="00D26685"/>
    <w:rsid w:val="00D4063C"/>
    <w:rsid w:val="00D45656"/>
    <w:rsid w:val="00D56938"/>
    <w:rsid w:val="00D65354"/>
    <w:rsid w:val="00D80F9C"/>
    <w:rsid w:val="00D84653"/>
    <w:rsid w:val="00DA6FC5"/>
    <w:rsid w:val="00DA7451"/>
    <w:rsid w:val="00DB5BE6"/>
    <w:rsid w:val="00DC6881"/>
    <w:rsid w:val="00DC6B92"/>
    <w:rsid w:val="00DE1996"/>
    <w:rsid w:val="00DE1A7D"/>
    <w:rsid w:val="00DF25CF"/>
    <w:rsid w:val="00DF7A5A"/>
    <w:rsid w:val="00E03D5E"/>
    <w:rsid w:val="00E070F6"/>
    <w:rsid w:val="00E135E8"/>
    <w:rsid w:val="00E15808"/>
    <w:rsid w:val="00E36B8D"/>
    <w:rsid w:val="00E415DF"/>
    <w:rsid w:val="00E429DB"/>
    <w:rsid w:val="00E61C15"/>
    <w:rsid w:val="00E62C5A"/>
    <w:rsid w:val="00E714F1"/>
    <w:rsid w:val="00E908D8"/>
    <w:rsid w:val="00E94126"/>
    <w:rsid w:val="00EA127B"/>
    <w:rsid w:val="00EA2A01"/>
    <w:rsid w:val="00EA3545"/>
    <w:rsid w:val="00EA4289"/>
    <w:rsid w:val="00EB208D"/>
    <w:rsid w:val="00EB502B"/>
    <w:rsid w:val="00EB72B9"/>
    <w:rsid w:val="00EC310E"/>
    <w:rsid w:val="00EC3F47"/>
    <w:rsid w:val="00EE2616"/>
    <w:rsid w:val="00EE40E4"/>
    <w:rsid w:val="00F06BDA"/>
    <w:rsid w:val="00F07248"/>
    <w:rsid w:val="00F212C9"/>
    <w:rsid w:val="00F21364"/>
    <w:rsid w:val="00F323C2"/>
    <w:rsid w:val="00F463E9"/>
    <w:rsid w:val="00F4719B"/>
    <w:rsid w:val="00F53346"/>
    <w:rsid w:val="00F55523"/>
    <w:rsid w:val="00F6213E"/>
    <w:rsid w:val="00F62D32"/>
    <w:rsid w:val="00F84DD1"/>
    <w:rsid w:val="00F92296"/>
    <w:rsid w:val="00F94F3B"/>
    <w:rsid w:val="00FA36FE"/>
    <w:rsid w:val="00FA4363"/>
    <w:rsid w:val="00FA4806"/>
    <w:rsid w:val="00FE5874"/>
    <w:rsid w:val="00FE7594"/>
    <w:rsid w:val="00FF054D"/>
    <w:rsid w:val="00FF45F4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A4DD3"/>
  <w15:chartTrackingRefBased/>
  <w15:docId w15:val="{F4AF4010-EC75-4546-B982-2DF0412E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bCs/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autoSpaceDE w:val="0"/>
      <w:autoSpaceDN w:val="0"/>
      <w:adjustRightInd w:val="0"/>
      <w:spacing w:line="100" w:lineRule="atLeast"/>
      <w:outlineLvl w:val="0"/>
    </w:pPr>
    <w:rPr>
      <w:b/>
      <w:lang w:val="lt-LT" w:eastAsia="lt-LT"/>
    </w:rPr>
  </w:style>
  <w:style w:type="paragraph" w:styleId="Antrat3">
    <w:name w:val="heading 3"/>
    <w:basedOn w:val="prastasis"/>
    <w:next w:val="prastasis"/>
    <w:qFormat/>
    <w:pPr>
      <w:keepNext/>
      <w:autoSpaceDE w:val="0"/>
      <w:autoSpaceDN w:val="0"/>
      <w:adjustRightInd w:val="0"/>
      <w:spacing w:line="100" w:lineRule="atLeast"/>
      <w:jc w:val="center"/>
      <w:outlineLvl w:val="2"/>
    </w:pPr>
    <w:rPr>
      <w:b/>
      <w:sz w:val="28"/>
      <w:szCs w:val="28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widowControl w:val="0"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bCs w:val="0"/>
      <w:noProof/>
      <w:szCs w:val="20"/>
      <w:lang w:val="lt-LT" w:eastAsia="lt-LT"/>
    </w:rPr>
  </w:style>
  <w:style w:type="paragraph" w:styleId="Porat">
    <w:name w:val="footer"/>
    <w:basedOn w:val="prastasis"/>
    <w:pPr>
      <w:widowControl w:val="0"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bCs w:val="0"/>
      <w:noProof/>
      <w:szCs w:val="20"/>
      <w:lang w:val="lt-LT" w:eastAsia="lt-LT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 w:val="24"/>
      <w:szCs w:val="24"/>
      <w:lang w:val="lt-LT" w:eastAsia="lt-LT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spacing w:line="100" w:lineRule="atLeast"/>
      <w:ind w:firstLine="720"/>
      <w:jc w:val="both"/>
    </w:pPr>
    <w:rPr>
      <w:lang w:val="lt-LT"/>
    </w:rPr>
  </w:style>
  <w:style w:type="character" w:styleId="Grietas">
    <w:name w:val="Strong"/>
    <w:qFormat/>
    <w:rPr>
      <w:b/>
      <w:bCs/>
    </w:rPr>
  </w:style>
  <w:style w:type="paragraph" w:styleId="prastasistinklapis">
    <w:name w:val="Įprastasis (tinklapis)"/>
    <w:basedOn w:val="prastasis"/>
    <w:pPr>
      <w:spacing w:before="100" w:beforeAutospacing="1" w:after="100" w:afterAutospacing="1"/>
    </w:pPr>
    <w:rPr>
      <w:bCs w:val="0"/>
    </w:rPr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bCs w:val="0"/>
      <w:caps/>
      <w:szCs w:val="20"/>
      <w:lang w:val="lt-LT"/>
    </w:rPr>
  </w:style>
  <w:style w:type="paragraph" w:styleId="Debesliotekstas">
    <w:name w:val="Balloon Text"/>
    <w:basedOn w:val="prastasis"/>
    <w:semiHidden/>
    <w:rsid w:val="001D4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E2B3C-2339-4E4B-B4C6-D9583D2D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UŽDAROJI    AKCINĖ     BENDROVĖ</vt:lpstr>
    </vt:vector>
  </TitlesOfParts>
  <Company>Akmenės vandenys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UŽDAROJI    AKCINĖ     BENDROVĖ</dc:title>
  <dc:subject/>
  <dc:creator>Raštinė</dc:creator>
  <cp:keywords/>
  <dc:description/>
  <cp:lastModifiedBy>Rima</cp:lastModifiedBy>
  <cp:revision>2</cp:revision>
  <cp:lastPrinted>2022-07-07T10:47:00Z</cp:lastPrinted>
  <dcterms:created xsi:type="dcterms:W3CDTF">2025-04-08T05:12:00Z</dcterms:created>
  <dcterms:modified xsi:type="dcterms:W3CDTF">2025-04-08T05:12:00Z</dcterms:modified>
</cp:coreProperties>
</file>